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2CF3" w14:textId="77777777" w:rsidR="002E00F0" w:rsidRPr="008247B1" w:rsidRDefault="002E00F0" w:rsidP="00617A06">
      <w:pPr>
        <w:tabs>
          <w:tab w:val="left" w:pos="915"/>
        </w:tabs>
        <w:jc w:val="center"/>
        <w:rPr>
          <w:rFonts w:ascii="Arial" w:hAnsi="Arial" w:cs="Arial"/>
          <w:sz w:val="32"/>
          <w:szCs w:val="32"/>
        </w:rPr>
      </w:pPr>
    </w:p>
    <w:p w14:paraId="02BB5C29" w14:textId="77777777" w:rsidR="007D622D" w:rsidRPr="008247B1" w:rsidRDefault="007D622D" w:rsidP="00617A06">
      <w:pPr>
        <w:tabs>
          <w:tab w:val="left" w:pos="915"/>
        </w:tabs>
        <w:jc w:val="center"/>
        <w:rPr>
          <w:rFonts w:ascii="Arial" w:hAnsi="Arial" w:cs="Arial"/>
          <w:sz w:val="32"/>
          <w:szCs w:val="32"/>
        </w:rPr>
      </w:pPr>
    </w:p>
    <w:p w14:paraId="57BD5130" w14:textId="77777777" w:rsidR="007D622D" w:rsidRPr="008247B1" w:rsidRDefault="007D622D" w:rsidP="00617A06">
      <w:pPr>
        <w:tabs>
          <w:tab w:val="left" w:pos="915"/>
        </w:tabs>
        <w:jc w:val="center"/>
        <w:rPr>
          <w:rFonts w:ascii="Arial" w:hAnsi="Arial" w:cs="Arial"/>
          <w:sz w:val="32"/>
          <w:szCs w:val="32"/>
        </w:rPr>
      </w:pPr>
    </w:p>
    <w:p w14:paraId="5E4F19F1" w14:textId="68CB3BAD" w:rsidR="00FD4383" w:rsidRPr="008247B1" w:rsidRDefault="00FD4383" w:rsidP="00617A06">
      <w:pPr>
        <w:tabs>
          <w:tab w:val="left" w:pos="915"/>
        </w:tabs>
        <w:jc w:val="center"/>
        <w:rPr>
          <w:rFonts w:ascii="Arial" w:hAnsi="Arial" w:cs="Arial"/>
          <w:sz w:val="32"/>
          <w:szCs w:val="32"/>
        </w:rPr>
      </w:pPr>
      <w:r w:rsidRPr="008247B1">
        <w:rPr>
          <w:rFonts w:ascii="Arial" w:hAnsi="Arial" w:cs="Arial"/>
          <w:sz w:val="32"/>
          <w:szCs w:val="32"/>
        </w:rPr>
        <w:t>CONSULTATION RESPONSE FORM</w:t>
      </w:r>
    </w:p>
    <w:p w14:paraId="574BC1D2" w14:textId="4AD1E6D5" w:rsidR="00FD4383" w:rsidRPr="008247B1" w:rsidRDefault="00B33301" w:rsidP="00617A06">
      <w:pPr>
        <w:tabs>
          <w:tab w:val="left" w:pos="915"/>
        </w:tabs>
        <w:jc w:val="center"/>
        <w:rPr>
          <w:rFonts w:ascii="Arial" w:hAnsi="Arial" w:cs="Arial"/>
          <w:sz w:val="24"/>
          <w:szCs w:val="24"/>
        </w:rPr>
      </w:pPr>
      <w:r w:rsidRPr="008247B1">
        <w:rPr>
          <w:rFonts w:ascii="Arial" w:hAnsi="Arial" w:cs="Arial"/>
          <w:sz w:val="32"/>
          <w:szCs w:val="32"/>
        </w:rPr>
        <w:t>MCS 026</w:t>
      </w:r>
      <w:r w:rsidR="00255D02" w:rsidRPr="008247B1">
        <w:rPr>
          <w:rFonts w:ascii="Arial" w:hAnsi="Arial" w:cs="Arial"/>
          <w:sz w:val="32"/>
          <w:szCs w:val="32"/>
        </w:rPr>
        <w:t xml:space="preserve"> – Seasonal Coefficient of Performance (SCOP) Calculator</w:t>
      </w:r>
    </w:p>
    <w:p w14:paraId="32C80A0E" w14:textId="606584E8" w:rsidR="002E00F0" w:rsidRPr="008247B1" w:rsidRDefault="002E00F0" w:rsidP="00604AFD">
      <w:pPr>
        <w:tabs>
          <w:tab w:val="left" w:pos="915"/>
        </w:tabs>
        <w:spacing w:after="0"/>
        <w:rPr>
          <w:rFonts w:ascii="Arial" w:hAnsi="Arial" w:cs="Arial"/>
        </w:rPr>
      </w:pPr>
      <w:r w:rsidRPr="008247B1">
        <w:rPr>
          <w:rFonts w:ascii="Arial" w:hAnsi="Arial" w:cs="Arial"/>
        </w:rPr>
        <w:t xml:space="preserve">Thank you for taking the time to comment on this consultation. MCS values the input from all interested parties in the development of its Standards as, without you, we would not be able to define and raise the quality of installations. We would be grateful if you could use this form for your response which helps with collation and consideration of responses. </w:t>
      </w:r>
    </w:p>
    <w:p w14:paraId="037E2691" w14:textId="77777777" w:rsidR="007D622D" w:rsidRPr="008247B1" w:rsidRDefault="007D622D" w:rsidP="00604AFD">
      <w:pPr>
        <w:tabs>
          <w:tab w:val="left" w:pos="915"/>
        </w:tabs>
        <w:spacing w:after="0"/>
        <w:rPr>
          <w:rFonts w:ascii="Arial" w:hAnsi="Arial" w:cs="Arial"/>
        </w:rPr>
      </w:pPr>
    </w:p>
    <w:p w14:paraId="4280D84A" w14:textId="1140288C" w:rsidR="007D622D" w:rsidRPr="008247B1" w:rsidRDefault="007D622D" w:rsidP="007D622D">
      <w:pPr>
        <w:tabs>
          <w:tab w:val="left" w:pos="915"/>
        </w:tabs>
        <w:rPr>
          <w:rFonts w:ascii="Arial" w:hAnsi="Arial" w:cs="Arial"/>
          <w:b/>
          <w:bCs/>
        </w:rPr>
      </w:pPr>
      <w:r w:rsidRPr="008247B1">
        <w:rPr>
          <w:rFonts w:ascii="Arial" w:hAnsi="Arial" w:cs="Arial"/>
          <w:b/>
          <w:bCs/>
        </w:rPr>
        <w:t>Introduction:</w:t>
      </w:r>
    </w:p>
    <w:p w14:paraId="7DF72011" w14:textId="37C0C704" w:rsidR="007D622D" w:rsidRPr="008247B1" w:rsidRDefault="007D622D" w:rsidP="007D622D">
      <w:pPr>
        <w:tabs>
          <w:tab w:val="left" w:pos="915"/>
        </w:tabs>
        <w:rPr>
          <w:rFonts w:ascii="Arial" w:hAnsi="Arial" w:cs="Arial"/>
        </w:rPr>
      </w:pPr>
      <w:r w:rsidRPr="008247B1">
        <w:rPr>
          <w:rFonts w:ascii="Arial" w:hAnsi="Arial" w:cs="Arial"/>
        </w:rPr>
        <w:t>This consultation is to seek feedback on MCS 026 Version 2.</w:t>
      </w:r>
    </w:p>
    <w:p w14:paraId="77E0DA9A" w14:textId="6B6042FA" w:rsidR="007D622D" w:rsidRPr="008247B1" w:rsidRDefault="007D622D" w:rsidP="007D622D">
      <w:pPr>
        <w:tabs>
          <w:tab w:val="left" w:pos="915"/>
        </w:tabs>
        <w:rPr>
          <w:rFonts w:ascii="Arial" w:hAnsi="Arial" w:cs="Arial"/>
        </w:rPr>
      </w:pPr>
      <w:r w:rsidRPr="008247B1">
        <w:rPr>
          <w:rFonts w:ascii="Arial" w:hAnsi="Arial" w:cs="Arial"/>
        </w:rPr>
        <w:t>The Standard is used to calculate Seasonal Space Heating Energy Efficiency (SSHEE), and to produce a table of SCOPs over a range of temperatures which is used in the creation of the MCS certificate.</w:t>
      </w:r>
    </w:p>
    <w:p w14:paraId="082F4CF8" w14:textId="7BB65B06" w:rsidR="007D622D" w:rsidRPr="008247B1" w:rsidRDefault="007D622D" w:rsidP="007D622D">
      <w:pPr>
        <w:tabs>
          <w:tab w:val="left" w:pos="915"/>
        </w:tabs>
        <w:spacing w:after="100" w:afterAutospacing="1"/>
        <w:rPr>
          <w:rFonts w:ascii="Arial" w:hAnsi="Arial" w:cs="Arial"/>
        </w:rPr>
      </w:pPr>
      <w:r w:rsidRPr="008247B1">
        <w:rPr>
          <w:rFonts w:ascii="Arial" w:hAnsi="Arial" w:cs="Arial"/>
        </w:rPr>
        <w:t xml:space="preserve">This update accommodates </w:t>
      </w:r>
      <w:r w:rsidR="008247B1" w:rsidRPr="008247B1">
        <w:rPr>
          <w:rFonts w:ascii="Arial" w:hAnsi="Arial" w:cs="Arial"/>
        </w:rPr>
        <w:t xml:space="preserve">air-to-air </w:t>
      </w:r>
      <w:r w:rsidRPr="008247B1">
        <w:rPr>
          <w:rFonts w:ascii="Arial" w:hAnsi="Arial" w:cs="Arial"/>
        </w:rPr>
        <w:t>heat pumps and allows direct input of bivalent temperature (</w:t>
      </w:r>
      <w:proofErr w:type="spellStart"/>
      <w:r w:rsidRPr="008247B1">
        <w:rPr>
          <w:rFonts w:ascii="Arial" w:hAnsi="Arial" w:cs="Arial"/>
        </w:rPr>
        <w:t>Tbiv</w:t>
      </w:r>
      <w:proofErr w:type="spellEnd"/>
      <w:r w:rsidRPr="008247B1">
        <w:rPr>
          <w:rFonts w:ascii="Arial" w:hAnsi="Arial" w:cs="Arial"/>
        </w:rPr>
        <w:t>). It also takes into consideration the 10% tolerance between heat demand and heat capacity allowed in EN 14825 and definitions have been updated to align with those in EN 14825.</w:t>
      </w:r>
      <w:r w:rsidR="008247B1" w:rsidRPr="008247B1">
        <w:rPr>
          <w:rFonts w:ascii="Arial" w:hAnsi="Arial" w:cs="Arial"/>
        </w:rPr>
        <w:t xml:space="preserve"> </w:t>
      </w:r>
    </w:p>
    <w:p w14:paraId="2DE3F947" w14:textId="77777777" w:rsidR="009B148F" w:rsidRPr="009B148F" w:rsidRDefault="009B148F" w:rsidP="009B148F">
      <w:pPr>
        <w:tabs>
          <w:tab w:val="left" w:pos="915"/>
        </w:tabs>
        <w:spacing w:after="0"/>
        <w:rPr>
          <w:rFonts w:ascii="Arial" w:hAnsi="Arial" w:cs="Arial"/>
          <w:lang w:val="en-US"/>
        </w:rPr>
      </w:pPr>
      <w:r w:rsidRPr="009B148F">
        <w:rPr>
          <w:rFonts w:ascii="Arial" w:hAnsi="Arial" w:cs="Arial"/>
          <w:lang w:val="en-US"/>
        </w:rPr>
        <w:t>This update incorporates the following changes:</w:t>
      </w:r>
    </w:p>
    <w:p w14:paraId="1DDED9C2" w14:textId="77777777" w:rsidR="009B148F" w:rsidRPr="009B148F" w:rsidRDefault="009B148F" w:rsidP="009B148F">
      <w:pPr>
        <w:numPr>
          <w:ilvl w:val="0"/>
          <w:numId w:val="7"/>
        </w:numPr>
        <w:tabs>
          <w:tab w:val="left" w:pos="915"/>
        </w:tabs>
        <w:spacing w:after="0"/>
        <w:rPr>
          <w:rFonts w:ascii="Arial" w:hAnsi="Arial" w:cs="Arial"/>
        </w:rPr>
      </w:pPr>
      <w:r w:rsidRPr="009B148F">
        <w:rPr>
          <w:rFonts w:ascii="Arial" w:hAnsi="Arial" w:cs="Arial"/>
        </w:rPr>
        <w:t xml:space="preserve">Performance test data at (non-standard) bivalent temperatures can now be input.  </w:t>
      </w:r>
    </w:p>
    <w:p w14:paraId="0954AD77" w14:textId="77777777" w:rsidR="009B148F" w:rsidRPr="009B148F" w:rsidRDefault="009B148F" w:rsidP="009B148F">
      <w:pPr>
        <w:numPr>
          <w:ilvl w:val="0"/>
          <w:numId w:val="7"/>
        </w:numPr>
        <w:tabs>
          <w:tab w:val="left" w:pos="915"/>
        </w:tabs>
        <w:spacing w:after="0"/>
        <w:rPr>
          <w:rFonts w:ascii="Arial" w:hAnsi="Arial" w:cs="Arial"/>
          <w:i/>
          <w:iCs/>
        </w:rPr>
      </w:pPr>
      <w:r w:rsidRPr="009B148F">
        <w:rPr>
          <w:rFonts w:ascii="Arial" w:hAnsi="Arial" w:cs="Arial"/>
        </w:rPr>
        <w:t xml:space="preserve">Bivalent temperature calculation now recognises 90% heat load coverage by heat pump. For temperatures above the bivalent temperature, the calculation now recognises that when </w:t>
      </w:r>
      <w:bookmarkStart w:id="0" w:name="_Hlk166523180"/>
      <w:r w:rsidRPr="009B148F">
        <w:rPr>
          <w:rFonts w:ascii="Arial" w:hAnsi="Arial" w:cs="Arial"/>
        </w:rPr>
        <w:t>at least 90% of the target heat load is provided by the heat pump</w:t>
      </w:r>
      <w:bookmarkEnd w:id="0"/>
      <w:r w:rsidRPr="009B148F">
        <w:rPr>
          <w:rFonts w:ascii="Arial" w:hAnsi="Arial" w:cs="Arial"/>
        </w:rPr>
        <w:t xml:space="preserve">, the target heat load is considered to have been achieved (as described in BS EN 14825:2022). </w:t>
      </w:r>
      <w:proofErr w:type="gramStart"/>
      <w:r w:rsidRPr="009B148F">
        <w:rPr>
          <w:rFonts w:ascii="Arial" w:hAnsi="Arial" w:cs="Arial"/>
          <w:i/>
          <w:iCs/>
        </w:rPr>
        <w:t>As a consequence of</w:t>
      </w:r>
      <w:proofErr w:type="gramEnd"/>
      <w:r w:rsidRPr="009B148F">
        <w:rPr>
          <w:rFonts w:ascii="Arial" w:hAnsi="Arial" w:cs="Arial"/>
          <w:i/>
          <w:iCs/>
        </w:rPr>
        <w:t xml:space="preserve"> this, back up electrical heating is set to zero if at least 90% of the target heat load is provided by the heat pump (column K of worksheets.) </w:t>
      </w:r>
    </w:p>
    <w:p w14:paraId="108F545F" w14:textId="77777777" w:rsidR="009B148F" w:rsidRPr="009B148F" w:rsidRDefault="009B148F" w:rsidP="009B148F">
      <w:pPr>
        <w:numPr>
          <w:ilvl w:val="0"/>
          <w:numId w:val="7"/>
        </w:numPr>
        <w:tabs>
          <w:tab w:val="left" w:pos="915"/>
        </w:tabs>
        <w:spacing w:after="0"/>
        <w:rPr>
          <w:rFonts w:ascii="Arial" w:hAnsi="Arial" w:cs="Arial"/>
        </w:rPr>
      </w:pPr>
      <w:r w:rsidRPr="009B148F">
        <w:rPr>
          <w:rFonts w:ascii="Arial" w:hAnsi="Arial" w:cs="Arial"/>
        </w:rPr>
        <w:t xml:space="preserve">The method for the determination of </w:t>
      </w:r>
      <w:proofErr w:type="spellStart"/>
      <w:r w:rsidRPr="009B148F">
        <w:rPr>
          <w:rFonts w:ascii="Arial" w:hAnsi="Arial" w:cs="Arial"/>
        </w:rPr>
        <w:t>Tbiv</w:t>
      </w:r>
      <w:proofErr w:type="spellEnd"/>
      <w:r w:rsidRPr="009B148F">
        <w:rPr>
          <w:rFonts w:ascii="Arial" w:hAnsi="Arial" w:cs="Arial"/>
        </w:rPr>
        <w:t xml:space="preserve"> has been updated (column R of worksheets) </w:t>
      </w:r>
    </w:p>
    <w:p w14:paraId="65A48572" w14:textId="77777777" w:rsidR="009B148F" w:rsidRDefault="009B148F" w:rsidP="009B148F">
      <w:pPr>
        <w:numPr>
          <w:ilvl w:val="0"/>
          <w:numId w:val="7"/>
        </w:numPr>
        <w:tabs>
          <w:tab w:val="left" w:pos="915"/>
        </w:tabs>
        <w:spacing w:after="0"/>
        <w:rPr>
          <w:rFonts w:ascii="Arial" w:hAnsi="Arial" w:cs="Arial"/>
        </w:rPr>
      </w:pPr>
      <w:r w:rsidRPr="009B148F">
        <w:rPr>
          <w:rFonts w:ascii="Arial" w:hAnsi="Arial" w:cs="Arial"/>
        </w:rPr>
        <w:t>Heat Pump definitions have been updated to be consistent with those used in BS EN 14825:2022 – i.e. heat pumps now defined as either Low-, Intermediate-, Medium- or High temperature.</w:t>
      </w:r>
    </w:p>
    <w:p w14:paraId="182331D5" w14:textId="77777777" w:rsidR="009B148F" w:rsidRPr="009B148F" w:rsidRDefault="009B148F" w:rsidP="009B148F">
      <w:pPr>
        <w:numPr>
          <w:ilvl w:val="0"/>
          <w:numId w:val="7"/>
        </w:numPr>
        <w:tabs>
          <w:tab w:val="left" w:pos="915"/>
        </w:tabs>
        <w:spacing w:after="0"/>
        <w:rPr>
          <w:rFonts w:ascii="Arial" w:hAnsi="Arial" w:cs="Arial"/>
        </w:rPr>
      </w:pPr>
    </w:p>
    <w:p w14:paraId="73A04472" w14:textId="77777777" w:rsidR="009B148F" w:rsidRPr="009B148F" w:rsidRDefault="009B148F" w:rsidP="009B148F">
      <w:pPr>
        <w:tabs>
          <w:tab w:val="left" w:pos="915"/>
        </w:tabs>
        <w:spacing w:after="0"/>
        <w:rPr>
          <w:rFonts w:ascii="Arial" w:hAnsi="Arial" w:cs="Arial"/>
        </w:rPr>
      </w:pPr>
      <w:r w:rsidRPr="009B148F">
        <w:rPr>
          <w:rFonts w:ascii="Arial" w:hAnsi="Arial" w:cs="Arial"/>
        </w:rPr>
        <w:t>Air-to-air heat pumps</w:t>
      </w:r>
    </w:p>
    <w:p w14:paraId="666EC80A" w14:textId="77777777" w:rsidR="009B148F" w:rsidRPr="009B148F" w:rsidRDefault="009B148F" w:rsidP="009B148F">
      <w:pPr>
        <w:numPr>
          <w:ilvl w:val="0"/>
          <w:numId w:val="8"/>
        </w:numPr>
        <w:tabs>
          <w:tab w:val="left" w:pos="915"/>
        </w:tabs>
        <w:spacing w:after="0"/>
        <w:rPr>
          <w:rFonts w:ascii="Arial" w:hAnsi="Arial" w:cs="Arial"/>
        </w:rPr>
      </w:pPr>
      <w:r w:rsidRPr="009B148F">
        <w:rPr>
          <w:rFonts w:ascii="Arial" w:hAnsi="Arial" w:cs="Arial"/>
        </w:rPr>
        <w:t>Adding air-to-air heat pumps as an option for the heat source (and renaming the existing options to specify water as the internal heat transfer medium).</w:t>
      </w:r>
    </w:p>
    <w:p w14:paraId="42FD26F0" w14:textId="77777777" w:rsidR="009B148F" w:rsidRPr="009B148F" w:rsidRDefault="009B148F" w:rsidP="009B148F">
      <w:pPr>
        <w:numPr>
          <w:ilvl w:val="0"/>
          <w:numId w:val="8"/>
        </w:numPr>
        <w:tabs>
          <w:tab w:val="left" w:pos="915"/>
        </w:tabs>
        <w:spacing w:after="0"/>
        <w:rPr>
          <w:rFonts w:ascii="Arial" w:hAnsi="Arial" w:cs="Arial"/>
        </w:rPr>
      </w:pPr>
      <w:r w:rsidRPr="009B148F">
        <w:rPr>
          <w:rFonts w:ascii="Arial" w:hAnsi="Arial" w:cs="Arial"/>
        </w:rPr>
        <w:t>Enabling input of heat pump performance data obtained using the test conditions for air-to-air heat pumps in Table 6 of BS EN 14825:2022.</w:t>
      </w:r>
    </w:p>
    <w:p w14:paraId="04CB8FF8" w14:textId="77777777" w:rsidR="009B148F" w:rsidRPr="009B148F" w:rsidRDefault="009B148F" w:rsidP="009B148F">
      <w:pPr>
        <w:numPr>
          <w:ilvl w:val="0"/>
          <w:numId w:val="8"/>
        </w:numPr>
        <w:tabs>
          <w:tab w:val="left" w:pos="915"/>
        </w:tabs>
        <w:spacing w:after="0"/>
        <w:rPr>
          <w:rFonts w:ascii="Arial" w:hAnsi="Arial" w:cs="Arial"/>
        </w:rPr>
      </w:pPr>
      <w:r w:rsidRPr="009B148F">
        <w:rPr>
          <w:rFonts w:ascii="Arial" w:hAnsi="Arial" w:cs="Arial"/>
        </w:rPr>
        <w:t>Incorporating the calculation procedure for SSHEE and SCOP included in Section 7 of BS EN 14825:2022 for air-to-air heat pumps (noting different procedures for heat pump capacities less than or equal to 12kW and for greater than 12kW).</w:t>
      </w:r>
    </w:p>
    <w:p w14:paraId="105EDB36" w14:textId="77777777" w:rsidR="009B148F" w:rsidRPr="009B148F" w:rsidRDefault="009B148F" w:rsidP="009B148F">
      <w:pPr>
        <w:numPr>
          <w:ilvl w:val="0"/>
          <w:numId w:val="9"/>
        </w:numPr>
        <w:tabs>
          <w:tab w:val="left" w:pos="915"/>
        </w:tabs>
        <w:spacing w:after="0"/>
        <w:rPr>
          <w:rFonts w:ascii="Arial" w:hAnsi="Arial" w:cs="Arial"/>
        </w:rPr>
      </w:pPr>
      <w:r w:rsidRPr="009B148F">
        <w:rPr>
          <w:rFonts w:ascii="Arial" w:hAnsi="Arial" w:cs="Arial"/>
        </w:rPr>
        <w:t>Included the option to input data for air-to-air heat pumps. </w:t>
      </w:r>
    </w:p>
    <w:p w14:paraId="220C7059" w14:textId="77777777" w:rsidR="009B148F" w:rsidRPr="009B148F" w:rsidRDefault="009B148F" w:rsidP="009B148F">
      <w:pPr>
        <w:numPr>
          <w:ilvl w:val="0"/>
          <w:numId w:val="9"/>
        </w:numPr>
        <w:tabs>
          <w:tab w:val="left" w:pos="915"/>
        </w:tabs>
        <w:spacing w:after="0"/>
        <w:rPr>
          <w:rFonts w:ascii="Arial" w:hAnsi="Arial" w:cs="Arial"/>
        </w:rPr>
      </w:pPr>
      <w:r w:rsidRPr="009B148F">
        <w:rPr>
          <w:rFonts w:ascii="Arial" w:hAnsi="Arial" w:cs="Arial"/>
        </w:rPr>
        <w:t>Relevant column and row headings updated when air-to-air option is selected.</w:t>
      </w:r>
    </w:p>
    <w:p w14:paraId="523ED5FB" w14:textId="77777777" w:rsidR="009B148F" w:rsidRPr="009B148F" w:rsidRDefault="009B148F" w:rsidP="009B148F">
      <w:pPr>
        <w:numPr>
          <w:ilvl w:val="0"/>
          <w:numId w:val="9"/>
        </w:numPr>
        <w:tabs>
          <w:tab w:val="left" w:pos="915"/>
        </w:tabs>
        <w:spacing w:after="0"/>
        <w:rPr>
          <w:rFonts w:ascii="Arial" w:hAnsi="Arial" w:cs="Arial"/>
        </w:rPr>
      </w:pPr>
      <w:r w:rsidRPr="009B148F">
        <w:rPr>
          <w:rFonts w:ascii="Arial" w:hAnsi="Arial" w:cs="Arial"/>
        </w:rPr>
        <w:t>On-mode, Thermostat-off and Crankcase heating hours updated to correspond to the hours defined for air-to-air heat pumps in BS EN 14825:2022, if the air-to-air option is selected.</w:t>
      </w:r>
    </w:p>
    <w:p w14:paraId="4FA3DB3E" w14:textId="77777777" w:rsidR="009B148F" w:rsidRPr="009B148F" w:rsidRDefault="009B148F" w:rsidP="009B148F">
      <w:pPr>
        <w:numPr>
          <w:ilvl w:val="0"/>
          <w:numId w:val="9"/>
        </w:numPr>
        <w:tabs>
          <w:tab w:val="left" w:pos="915"/>
        </w:tabs>
        <w:spacing w:after="0"/>
        <w:rPr>
          <w:rFonts w:ascii="Arial" w:hAnsi="Arial" w:cs="Arial"/>
        </w:rPr>
      </w:pPr>
      <w:r w:rsidRPr="009B148F">
        <w:rPr>
          <w:rFonts w:ascii="Arial" w:hAnsi="Arial" w:cs="Arial"/>
        </w:rPr>
        <w:t>Default degradation coefficient for air-to-air set to 0.25 (instead of 0.9 for other HP).</w:t>
      </w:r>
    </w:p>
    <w:p w14:paraId="5C1ECA4A" w14:textId="77777777" w:rsidR="009B148F" w:rsidRPr="009B148F" w:rsidRDefault="009B148F" w:rsidP="009B148F">
      <w:pPr>
        <w:numPr>
          <w:ilvl w:val="0"/>
          <w:numId w:val="9"/>
        </w:numPr>
        <w:tabs>
          <w:tab w:val="left" w:pos="915"/>
        </w:tabs>
        <w:spacing w:after="0"/>
        <w:rPr>
          <w:rFonts w:ascii="Arial" w:hAnsi="Arial" w:cs="Arial"/>
        </w:rPr>
      </w:pPr>
      <w:r w:rsidRPr="009B148F">
        <w:rPr>
          <w:rFonts w:ascii="Arial" w:hAnsi="Arial" w:cs="Arial"/>
        </w:rPr>
        <w:t>Flow temperature options updated to include 20</w:t>
      </w:r>
      <w:r w:rsidRPr="009B148F">
        <w:rPr>
          <w:rFonts w:ascii="Arial" w:hAnsi="Arial" w:cs="Arial"/>
          <w:vertAlign w:val="superscript"/>
        </w:rPr>
        <w:t>o</w:t>
      </w:r>
      <w:r w:rsidRPr="009B148F">
        <w:rPr>
          <w:rFonts w:ascii="Arial" w:hAnsi="Arial" w:cs="Arial"/>
        </w:rPr>
        <w:t>C for air-to-air.</w:t>
      </w:r>
    </w:p>
    <w:p w14:paraId="244360E3" w14:textId="77777777" w:rsidR="009B148F" w:rsidRDefault="009B148F" w:rsidP="009B148F">
      <w:pPr>
        <w:numPr>
          <w:ilvl w:val="0"/>
          <w:numId w:val="9"/>
        </w:numPr>
        <w:tabs>
          <w:tab w:val="left" w:pos="915"/>
        </w:tabs>
        <w:spacing w:after="0"/>
        <w:rPr>
          <w:rFonts w:ascii="Arial" w:hAnsi="Arial" w:cs="Arial"/>
        </w:rPr>
      </w:pPr>
      <w:r w:rsidRPr="009B148F">
        <w:rPr>
          <w:rFonts w:ascii="Arial" w:hAnsi="Arial" w:cs="Arial"/>
        </w:rPr>
        <w:t xml:space="preserve">Formula for </w:t>
      </w:r>
      <w:proofErr w:type="spellStart"/>
      <w:r w:rsidRPr="009B148F">
        <w:rPr>
          <w:rFonts w:ascii="Arial" w:hAnsi="Arial" w:cs="Arial"/>
        </w:rPr>
        <w:t>COPbin</w:t>
      </w:r>
      <w:proofErr w:type="spellEnd"/>
      <w:r w:rsidRPr="009B148F">
        <w:rPr>
          <w:rFonts w:ascii="Arial" w:hAnsi="Arial" w:cs="Arial"/>
        </w:rPr>
        <w:t xml:space="preserve"> updated to match that in BS EN 14825:2022.</w:t>
      </w:r>
    </w:p>
    <w:p w14:paraId="16DF2B28" w14:textId="77777777" w:rsidR="009B148F" w:rsidRPr="009B148F" w:rsidRDefault="009B148F" w:rsidP="009B148F">
      <w:pPr>
        <w:numPr>
          <w:ilvl w:val="0"/>
          <w:numId w:val="9"/>
        </w:numPr>
        <w:tabs>
          <w:tab w:val="left" w:pos="915"/>
        </w:tabs>
        <w:spacing w:after="0"/>
        <w:rPr>
          <w:rFonts w:ascii="Arial" w:hAnsi="Arial" w:cs="Arial"/>
        </w:rPr>
      </w:pPr>
    </w:p>
    <w:p w14:paraId="3E349DE0" w14:textId="77777777" w:rsidR="007D622D" w:rsidRPr="008247B1" w:rsidRDefault="007D622D" w:rsidP="007D622D">
      <w:pPr>
        <w:tabs>
          <w:tab w:val="left" w:pos="915"/>
        </w:tabs>
        <w:spacing w:after="0"/>
        <w:rPr>
          <w:rFonts w:ascii="Arial" w:hAnsi="Arial" w:cs="Arial"/>
          <w:lang w:val="en-US"/>
        </w:rPr>
      </w:pPr>
      <w:r w:rsidRPr="008247B1">
        <w:rPr>
          <w:rFonts w:ascii="Arial" w:hAnsi="Arial" w:cs="Arial"/>
          <w:lang w:val="en-US"/>
        </w:rPr>
        <w:t>Following this development work, MCS would now like to invite comments from stakeholders.</w:t>
      </w:r>
    </w:p>
    <w:p w14:paraId="2F186A28" w14:textId="44E81A04" w:rsidR="001E731A" w:rsidRPr="008247B1" w:rsidRDefault="001E731A" w:rsidP="008723B7">
      <w:pPr>
        <w:tabs>
          <w:tab w:val="left" w:pos="10875"/>
        </w:tabs>
        <w:rPr>
          <w:rFonts w:ascii="Arial" w:hAnsi="Arial" w:cs="Arial"/>
        </w:rPr>
      </w:pPr>
    </w:p>
    <w:tbl>
      <w:tblPr>
        <w:tblW w:w="2849" w:type="pct"/>
        <w:tblLook w:val="0000" w:firstRow="0" w:lastRow="0" w:firstColumn="0" w:lastColumn="0" w:noHBand="0" w:noVBand="0"/>
      </w:tblPr>
      <w:tblGrid>
        <w:gridCol w:w="1323"/>
        <w:gridCol w:w="1488"/>
        <w:gridCol w:w="1488"/>
        <w:gridCol w:w="1657"/>
      </w:tblGrid>
      <w:tr w:rsidR="00AA57AF" w:rsidRPr="008247B1" w14:paraId="6344417B" w14:textId="77777777" w:rsidTr="00AA57AF">
        <w:trPr>
          <w:cantSplit/>
          <w:tblHeader/>
        </w:trPr>
        <w:tc>
          <w:tcPr>
            <w:tcW w:w="1111" w:type="pct"/>
            <w:tcBorders>
              <w:top w:val="single" w:sz="6" w:space="0" w:color="000000"/>
              <w:left w:val="single" w:sz="6" w:space="0" w:color="000000"/>
              <w:bottom w:val="single" w:sz="4" w:space="0" w:color="auto"/>
              <w:right w:val="single" w:sz="6" w:space="0" w:color="000000"/>
            </w:tcBorders>
          </w:tcPr>
          <w:p w14:paraId="56AD5580" w14:textId="77777777" w:rsidR="00AA57AF" w:rsidRPr="008247B1" w:rsidRDefault="00AA57AF" w:rsidP="001E731A">
            <w:pPr>
              <w:tabs>
                <w:tab w:val="left" w:pos="10875"/>
              </w:tabs>
              <w:rPr>
                <w:rFonts w:ascii="Arial" w:hAnsi="Arial" w:cs="Arial"/>
              </w:rPr>
            </w:pPr>
            <w:r w:rsidRPr="008247B1">
              <w:rPr>
                <w:rFonts w:ascii="Arial" w:hAnsi="Arial" w:cs="Arial"/>
                <w:sz w:val="20"/>
                <w:szCs w:val="20"/>
              </w:rPr>
              <w:lastRenderedPageBreak/>
              <w:t>Respondent Name:</w:t>
            </w:r>
          </w:p>
        </w:tc>
        <w:tc>
          <w:tcPr>
            <w:tcW w:w="1249" w:type="pct"/>
            <w:tcBorders>
              <w:top w:val="single" w:sz="6" w:space="0" w:color="000000"/>
              <w:left w:val="single" w:sz="6" w:space="0" w:color="000000"/>
              <w:bottom w:val="single" w:sz="4" w:space="0" w:color="auto"/>
              <w:right w:val="single" w:sz="6" w:space="0" w:color="000000"/>
            </w:tcBorders>
          </w:tcPr>
          <w:p w14:paraId="7D461076" w14:textId="218C63E8" w:rsidR="00AA57AF" w:rsidRPr="008247B1" w:rsidRDefault="00AA57AF" w:rsidP="001E731A">
            <w:pPr>
              <w:tabs>
                <w:tab w:val="left" w:pos="10875"/>
              </w:tabs>
              <w:rPr>
                <w:rFonts w:ascii="Arial" w:hAnsi="Arial" w:cs="Arial"/>
                <w:sz w:val="20"/>
                <w:szCs w:val="20"/>
              </w:rPr>
            </w:pPr>
            <w:r w:rsidRPr="008247B1">
              <w:rPr>
                <w:rFonts w:ascii="Arial" w:hAnsi="Arial" w:cs="Arial"/>
                <w:sz w:val="20"/>
                <w:szCs w:val="20"/>
              </w:rPr>
              <w:t>Company Name:</w:t>
            </w:r>
          </w:p>
        </w:tc>
        <w:tc>
          <w:tcPr>
            <w:tcW w:w="1249" w:type="pct"/>
            <w:tcBorders>
              <w:top w:val="single" w:sz="6" w:space="0" w:color="000000"/>
              <w:left w:val="single" w:sz="6" w:space="0" w:color="000000"/>
              <w:bottom w:val="single" w:sz="4" w:space="0" w:color="auto"/>
              <w:right w:val="single" w:sz="4" w:space="0" w:color="auto"/>
            </w:tcBorders>
          </w:tcPr>
          <w:p w14:paraId="52B5E897" w14:textId="3A876CF7" w:rsidR="00AA57AF" w:rsidRPr="008247B1" w:rsidRDefault="00AA57AF" w:rsidP="001E731A">
            <w:pPr>
              <w:tabs>
                <w:tab w:val="left" w:pos="10875"/>
              </w:tabs>
              <w:rPr>
                <w:rFonts w:ascii="Arial" w:hAnsi="Arial" w:cs="Arial"/>
              </w:rPr>
            </w:pPr>
            <w:r w:rsidRPr="008247B1">
              <w:rPr>
                <w:rFonts w:ascii="Arial" w:hAnsi="Arial" w:cs="Arial"/>
                <w:sz w:val="20"/>
                <w:szCs w:val="20"/>
              </w:rPr>
              <w:t>Date:</w:t>
            </w:r>
          </w:p>
        </w:tc>
        <w:tc>
          <w:tcPr>
            <w:tcW w:w="1391"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7A8C193" w14:textId="77777777" w:rsidR="00AA57AF" w:rsidRPr="008247B1" w:rsidRDefault="00AA57AF" w:rsidP="001E731A">
            <w:pPr>
              <w:tabs>
                <w:tab w:val="left" w:pos="10875"/>
              </w:tabs>
              <w:rPr>
                <w:rFonts w:ascii="Arial" w:hAnsi="Arial" w:cs="Arial"/>
              </w:rPr>
            </w:pPr>
          </w:p>
        </w:tc>
      </w:tr>
      <w:tr w:rsidR="00AA57AF" w:rsidRPr="008247B1" w14:paraId="133BD986" w14:textId="77777777" w:rsidTr="00AA57AF">
        <w:trPr>
          <w:cantSplit/>
          <w:tblHeader/>
        </w:trPr>
        <w:tc>
          <w:tcPr>
            <w:tcW w:w="1111" w:type="pct"/>
            <w:tcBorders>
              <w:top w:val="single" w:sz="4" w:space="0" w:color="auto"/>
              <w:left w:val="single" w:sz="6" w:space="0" w:color="000000"/>
              <w:bottom w:val="single" w:sz="6" w:space="0" w:color="000000"/>
              <w:right w:val="single" w:sz="6" w:space="0" w:color="000000"/>
            </w:tcBorders>
          </w:tcPr>
          <w:p w14:paraId="4C910032" w14:textId="77777777" w:rsidR="00AA57AF" w:rsidRPr="008247B1" w:rsidRDefault="00AA57AF" w:rsidP="001E731A">
            <w:pPr>
              <w:tabs>
                <w:tab w:val="left" w:pos="10875"/>
              </w:tabs>
              <w:rPr>
                <w:rFonts w:ascii="Arial" w:hAnsi="Arial" w:cs="Arial"/>
              </w:rPr>
            </w:pPr>
          </w:p>
        </w:tc>
        <w:tc>
          <w:tcPr>
            <w:tcW w:w="1249" w:type="pct"/>
            <w:tcBorders>
              <w:top w:val="single" w:sz="4" w:space="0" w:color="auto"/>
              <w:left w:val="single" w:sz="6" w:space="0" w:color="000000"/>
              <w:bottom w:val="single" w:sz="6" w:space="0" w:color="000000"/>
              <w:right w:val="single" w:sz="6" w:space="0" w:color="000000"/>
            </w:tcBorders>
          </w:tcPr>
          <w:p w14:paraId="6848D2B0" w14:textId="77777777" w:rsidR="00AA57AF" w:rsidRPr="008247B1" w:rsidRDefault="00AA57AF" w:rsidP="001E731A">
            <w:pPr>
              <w:tabs>
                <w:tab w:val="left" w:pos="10875"/>
              </w:tabs>
              <w:rPr>
                <w:rFonts w:ascii="Arial" w:hAnsi="Arial" w:cs="Arial"/>
              </w:rPr>
            </w:pPr>
          </w:p>
        </w:tc>
        <w:tc>
          <w:tcPr>
            <w:tcW w:w="1249" w:type="pct"/>
            <w:tcBorders>
              <w:top w:val="single" w:sz="4" w:space="0" w:color="auto"/>
              <w:left w:val="single" w:sz="6" w:space="0" w:color="000000"/>
              <w:bottom w:val="single" w:sz="6" w:space="0" w:color="000000"/>
              <w:right w:val="single" w:sz="4" w:space="0" w:color="auto"/>
            </w:tcBorders>
          </w:tcPr>
          <w:p w14:paraId="71C1694F" w14:textId="5137E494" w:rsidR="00AA57AF" w:rsidRPr="008247B1" w:rsidRDefault="00AA57AF" w:rsidP="001E731A">
            <w:pPr>
              <w:tabs>
                <w:tab w:val="left" w:pos="10875"/>
              </w:tabs>
              <w:rPr>
                <w:rFonts w:ascii="Arial" w:hAnsi="Arial" w:cs="Arial"/>
              </w:rPr>
            </w:pPr>
          </w:p>
        </w:tc>
        <w:tc>
          <w:tcPr>
            <w:tcW w:w="1391" w:type="pct"/>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F1F22A" w14:textId="77777777" w:rsidR="00AA57AF" w:rsidRPr="008247B1" w:rsidRDefault="00AA57AF" w:rsidP="001E731A">
            <w:pPr>
              <w:tabs>
                <w:tab w:val="left" w:pos="10875"/>
              </w:tabs>
              <w:rPr>
                <w:rFonts w:ascii="Arial" w:hAnsi="Arial" w:cs="Arial"/>
              </w:rPr>
            </w:pPr>
          </w:p>
        </w:tc>
      </w:tr>
    </w:tbl>
    <w:p w14:paraId="7F3F1F9D" w14:textId="77777777" w:rsidR="00595251" w:rsidRPr="008247B1" w:rsidRDefault="00595251" w:rsidP="00FD4383">
      <w:pPr>
        <w:tabs>
          <w:tab w:val="left" w:pos="915"/>
        </w:tabs>
        <w:rPr>
          <w:rFonts w:ascii="Arial" w:eastAsia="Calibri" w:hAnsi="Arial" w:cs="Arial"/>
          <w:sz w:val="18"/>
          <w:szCs w:val="18"/>
          <w:lang w:eastAsia="en-GB"/>
        </w:rPr>
      </w:pPr>
    </w:p>
    <w:tbl>
      <w:tblPr>
        <w:tblStyle w:val="TableGrid"/>
        <w:tblW w:w="0" w:type="auto"/>
        <w:tblInd w:w="-5" w:type="dxa"/>
        <w:tblLook w:val="04A0" w:firstRow="1" w:lastRow="0" w:firstColumn="1" w:lastColumn="0" w:noHBand="0" w:noVBand="1"/>
      </w:tblPr>
      <w:tblGrid>
        <w:gridCol w:w="10461"/>
      </w:tblGrid>
      <w:tr w:rsidR="00CD5D78" w:rsidRPr="008247B1" w14:paraId="618C7224" w14:textId="77777777" w:rsidTr="007D622D">
        <w:trPr>
          <w:cantSplit/>
          <w:trHeight w:val="6376"/>
        </w:trPr>
        <w:tc>
          <w:tcPr>
            <w:tcW w:w="15304" w:type="dxa"/>
          </w:tcPr>
          <w:p w14:paraId="74C0A852" w14:textId="3B8FE438" w:rsidR="00050069" w:rsidRPr="008247B1" w:rsidRDefault="00050069" w:rsidP="00050069">
            <w:pPr>
              <w:spacing w:line="240" w:lineRule="exact"/>
              <w:jc w:val="both"/>
              <w:rPr>
                <w:rFonts w:ascii="Arial" w:eastAsia="Calibri" w:hAnsi="Arial" w:cs="Arial"/>
                <w:color w:val="4D4F53"/>
                <w:lang w:eastAsia="en-GB"/>
              </w:rPr>
            </w:pPr>
            <w:r w:rsidRPr="008247B1">
              <w:rPr>
                <w:rFonts w:ascii="Arial" w:eastAsia="Calibri" w:hAnsi="Arial" w:cs="Arial"/>
                <w:color w:val="4D4F53"/>
                <w:lang w:eastAsia="en-GB"/>
              </w:rPr>
              <w:t>Comments:</w:t>
            </w:r>
          </w:p>
          <w:p w14:paraId="748FB14D" w14:textId="4791D24E" w:rsidR="00050069" w:rsidRPr="008247B1" w:rsidRDefault="00050069" w:rsidP="00050069">
            <w:pPr>
              <w:spacing w:line="240" w:lineRule="exact"/>
              <w:jc w:val="both"/>
              <w:rPr>
                <w:rFonts w:ascii="Arial" w:eastAsia="Calibri" w:hAnsi="Arial" w:cs="Arial"/>
                <w:color w:val="4D4F53"/>
                <w:lang w:eastAsia="en-GB"/>
              </w:rPr>
            </w:pPr>
          </w:p>
          <w:p w14:paraId="46C8ACAA" w14:textId="77777777" w:rsidR="007D622D" w:rsidRPr="008247B1" w:rsidRDefault="007D622D" w:rsidP="00730213">
            <w:pPr>
              <w:jc w:val="both"/>
              <w:rPr>
                <w:rFonts w:ascii="Arial" w:eastAsia="Calibri" w:hAnsi="Arial" w:cs="Arial"/>
                <w:lang w:eastAsia="en-GB"/>
              </w:rPr>
            </w:pPr>
          </w:p>
          <w:p w14:paraId="01BCA80E" w14:textId="77777777" w:rsidR="007D622D" w:rsidRPr="008247B1" w:rsidRDefault="007D622D" w:rsidP="00730213">
            <w:pPr>
              <w:jc w:val="both"/>
              <w:rPr>
                <w:rFonts w:ascii="Arial" w:eastAsia="Calibri" w:hAnsi="Arial" w:cs="Arial"/>
                <w:lang w:eastAsia="en-GB"/>
              </w:rPr>
            </w:pPr>
          </w:p>
          <w:p w14:paraId="1C09EB7C" w14:textId="77777777" w:rsidR="007D622D" w:rsidRPr="008247B1" w:rsidRDefault="007D622D" w:rsidP="00730213">
            <w:pPr>
              <w:jc w:val="both"/>
              <w:rPr>
                <w:rFonts w:ascii="Arial" w:eastAsia="Calibri" w:hAnsi="Arial" w:cs="Arial"/>
                <w:lang w:eastAsia="en-GB"/>
              </w:rPr>
            </w:pPr>
          </w:p>
          <w:p w14:paraId="47D23631" w14:textId="77777777" w:rsidR="007D622D" w:rsidRPr="008247B1" w:rsidRDefault="007D622D" w:rsidP="00730213">
            <w:pPr>
              <w:jc w:val="both"/>
              <w:rPr>
                <w:rFonts w:ascii="Arial" w:eastAsia="Calibri" w:hAnsi="Arial" w:cs="Arial"/>
                <w:lang w:eastAsia="en-GB"/>
              </w:rPr>
            </w:pPr>
          </w:p>
          <w:p w14:paraId="5323FBCC" w14:textId="77777777" w:rsidR="007D622D" w:rsidRPr="008247B1" w:rsidRDefault="007D622D" w:rsidP="00730213">
            <w:pPr>
              <w:jc w:val="both"/>
              <w:rPr>
                <w:rFonts w:ascii="Arial" w:eastAsia="Calibri" w:hAnsi="Arial" w:cs="Arial"/>
                <w:lang w:eastAsia="en-GB"/>
              </w:rPr>
            </w:pPr>
          </w:p>
          <w:p w14:paraId="0A73566A" w14:textId="77777777" w:rsidR="007D622D" w:rsidRPr="008247B1" w:rsidRDefault="007D622D" w:rsidP="00730213">
            <w:pPr>
              <w:jc w:val="both"/>
              <w:rPr>
                <w:rFonts w:ascii="Arial" w:eastAsia="Calibri" w:hAnsi="Arial" w:cs="Arial"/>
                <w:lang w:eastAsia="en-GB"/>
              </w:rPr>
            </w:pPr>
          </w:p>
          <w:p w14:paraId="3A431F40" w14:textId="77777777" w:rsidR="007D622D" w:rsidRPr="008247B1" w:rsidRDefault="007D622D" w:rsidP="00730213">
            <w:pPr>
              <w:jc w:val="both"/>
              <w:rPr>
                <w:rFonts w:ascii="Arial" w:eastAsia="Calibri" w:hAnsi="Arial" w:cs="Arial"/>
                <w:lang w:eastAsia="en-GB"/>
              </w:rPr>
            </w:pPr>
          </w:p>
          <w:p w14:paraId="34266CF1" w14:textId="77777777" w:rsidR="007D622D" w:rsidRPr="008247B1" w:rsidRDefault="007D622D" w:rsidP="00730213">
            <w:pPr>
              <w:jc w:val="both"/>
              <w:rPr>
                <w:rFonts w:ascii="Arial" w:eastAsia="Calibri" w:hAnsi="Arial" w:cs="Arial"/>
                <w:lang w:eastAsia="en-GB"/>
              </w:rPr>
            </w:pPr>
          </w:p>
          <w:p w14:paraId="24DDD059" w14:textId="77777777" w:rsidR="007D622D" w:rsidRPr="008247B1" w:rsidRDefault="007D622D" w:rsidP="00730213">
            <w:pPr>
              <w:jc w:val="both"/>
              <w:rPr>
                <w:rFonts w:ascii="Arial" w:eastAsia="Calibri" w:hAnsi="Arial" w:cs="Arial"/>
                <w:lang w:eastAsia="en-GB"/>
              </w:rPr>
            </w:pPr>
          </w:p>
          <w:p w14:paraId="3661A3DB" w14:textId="77777777" w:rsidR="007D622D" w:rsidRPr="008247B1" w:rsidRDefault="007D622D" w:rsidP="00730213">
            <w:pPr>
              <w:jc w:val="both"/>
              <w:rPr>
                <w:rFonts w:ascii="Arial" w:eastAsia="Calibri" w:hAnsi="Arial" w:cs="Arial"/>
                <w:lang w:eastAsia="en-GB"/>
              </w:rPr>
            </w:pPr>
          </w:p>
          <w:p w14:paraId="23386137" w14:textId="77777777" w:rsidR="007D622D" w:rsidRPr="008247B1" w:rsidRDefault="007D622D" w:rsidP="00730213">
            <w:pPr>
              <w:jc w:val="both"/>
              <w:rPr>
                <w:rFonts w:ascii="Arial" w:eastAsia="Calibri" w:hAnsi="Arial" w:cs="Arial"/>
                <w:lang w:eastAsia="en-GB"/>
              </w:rPr>
            </w:pPr>
          </w:p>
          <w:p w14:paraId="38CA91D7" w14:textId="77777777" w:rsidR="007D622D" w:rsidRPr="008247B1" w:rsidRDefault="007D622D" w:rsidP="00730213">
            <w:pPr>
              <w:jc w:val="both"/>
              <w:rPr>
                <w:rFonts w:ascii="Arial" w:eastAsia="Calibri" w:hAnsi="Arial" w:cs="Arial"/>
                <w:lang w:eastAsia="en-GB"/>
              </w:rPr>
            </w:pPr>
          </w:p>
          <w:p w14:paraId="7F658D9D" w14:textId="77777777" w:rsidR="007D622D" w:rsidRPr="008247B1" w:rsidRDefault="007D622D" w:rsidP="00730213">
            <w:pPr>
              <w:jc w:val="both"/>
              <w:rPr>
                <w:rFonts w:ascii="Arial" w:eastAsia="Calibri" w:hAnsi="Arial" w:cs="Arial"/>
                <w:lang w:eastAsia="en-GB"/>
              </w:rPr>
            </w:pPr>
          </w:p>
          <w:p w14:paraId="1872DC4E" w14:textId="77777777" w:rsidR="007D622D" w:rsidRPr="008247B1" w:rsidRDefault="007D622D" w:rsidP="00730213">
            <w:pPr>
              <w:jc w:val="both"/>
              <w:rPr>
                <w:rFonts w:ascii="Arial" w:eastAsia="Calibri" w:hAnsi="Arial" w:cs="Arial"/>
                <w:lang w:eastAsia="en-GB"/>
              </w:rPr>
            </w:pPr>
          </w:p>
          <w:p w14:paraId="33C4F6B4" w14:textId="77777777" w:rsidR="007D622D" w:rsidRPr="008247B1" w:rsidRDefault="007D622D" w:rsidP="00730213">
            <w:pPr>
              <w:jc w:val="both"/>
              <w:rPr>
                <w:rFonts w:ascii="Arial" w:eastAsia="Calibri" w:hAnsi="Arial" w:cs="Arial"/>
                <w:lang w:eastAsia="en-GB"/>
              </w:rPr>
            </w:pPr>
          </w:p>
          <w:p w14:paraId="7773A085" w14:textId="77777777" w:rsidR="007D622D" w:rsidRPr="008247B1" w:rsidRDefault="007D622D" w:rsidP="00730213">
            <w:pPr>
              <w:jc w:val="both"/>
              <w:rPr>
                <w:rFonts w:ascii="Arial" w:eastAsia="Calibri" w:hAnsi="Arial" w:cs="Arial"/>
                <w:lang w:eastAsia="en-GB"/>
              </w:rPr>
            </w:pPr>
          </w:p>
          <w:p w14:paraId="619B8751" w14:textId="77777777" w:rsidR="007D622D" w:rsidRPr="008247B1" w:rsidRDefault="007D622D" w:rsidP="00730213">
            <w:pPr>
              <w:jc w:val="both"/>
              <w:rPr>
                <w:rFonts w:ascii="Arial" w:eastAsia="Calibri" w:hAnsi="Arial" w:cs="Arial"/>
                <w:lang w:eastAsia="en-GB"/>
              </w:rPr>
            </w:pPr>
          </w:p>
          <w:p w14:paraId="5CD08D34" w14:textId="77777777" w:rsidR="007D622D" w:rsidRPr="008247B1" w:rsidRDefault="007D622D" w:rsidP="00730213">
            <w:pPr>
              <w:jc w:val="both"/>
              <w:rPr>
                <w:rFonts w:ascii="Arial" w:eastAsia="Calibri" w:hAnsi="Arial" w:cs="Arial"/>
                <w:lang w:eastAsia="en-GB"/>
              </w:rPr>
            </w:pPr>
          </w:p>
          <w:p w14:paraId="0DDDB4D7" w14:textId="77777777" w:rsidR="007D622D" w:rsidRPr="008247B1" w:rsidRDefault="007D622D" w:rsidP="00730213">
            <w:pPr>
              <w:jc w:val="both"/>
              <w:rPr>
                <w:rFonts w:ascii="Arial" w:eastAsia="Calibri" w:hAnsi="Arial" w:cs="Arial"/>
                <w:lang w:eastAsia="en-GB"/>
              </w:rPr>
            </w:pPr>
          </w:p>
          <w:p w14:paraId="03862AB5" w14:textId="77777777" w:rsidR="007D622D" w:rsidRPr="008247B1" w:rsidRDefault="007D622D" w:rsidP="00730213">
            <w:pPr>
              <w:jc w:val="both"/>
              <w:rPr>
                <w:rFonts w:ascii="Arial" w:eastAsia="Calibri" w:hAnsi="Arial" w:cs="Arial"/>
                <w:lang w:eastAsia="en-GB"/>
              </w:rPr>
            </w:pPr>
          </w:p>
          <w:p w14:paraId="0AD3579E" w14:textId="77777777" w:rsidR="007D622D" w:rsidRPr="008247B1" w:rsidRDefault="007D622D" w:rsidP="00730213">
            <w:pPr>
              <w:jc w:val="both"/>
              <w:rPr>
                <w:rFonts w:ascii="Arial" w:eastAsia="Calibri" w:hAnsi="Arial" w:cs="Arial"/>
                <w:lang w:eastAsia="en-GB"/>
              </w:rPr>
            </w:pPr>
          </w:p>
          <w:p w14:paraId="4BAA8ABF" w14:textId="77777777" w:rsidR="007D622D" w:rsidRPr="008247B1" w:rsidRDefault="007D622D" w:rsidP="00730213">
            <w:pPr>
              <w:jc w:val="both"/>
              <w:rPr>
                <w:rFonts w:ascii="Arial" w:eastAsia="Calibri" w:hAnsi="Arial" w:cs="Arial"/>
                <w:lang w:eastAsia="en-GB"/>
              </w:rPr>
            </w:pPr>
          </w:p>
          <w:p w14:paraId="6ACD503F" w14:textId="77777777" w:rsidR="007D622D" w:rsidRPr="008247B1" w:rsidRDefault="007D622D" w:rsidP="00730213">
            <w:pPr>
              <w:jc w:val="both"/>
              <w:rPr>
                <w:rFonts w:ascii="Arial" w:eastAsia="Calibri" w:hAnsi="Arial" w:cs="Arial"/>
                <w:lang w:eastAsia="en-GB"/>
              </w:rPr>
            </w:pPr>
          </w:p>
          <w:p w14:paraId="6175B83F" w14:textId="77777777" w:rsidR="007D622D" w:rsidRPr="008247B1" w:rsidRDefault="007D622D" w:rsidP="00730213">
            <w:pPr>
              <w:jc w:val="both"/>
              <w:rPr>
                <w:rFonts w:ascii="Arial" w:eastAsia="Calibri" w:hAnsi="Arial" w:cs="Arial"/>
                <w:lang w:eastAsia="en-GB"/>
              </w:rPr>
            </w:pPr>
          </w:p>
          <w:p w14:paraId="7C70F277" w14:textId="77777777" w:rsidR="007D622D" w:rsidRPr="008247B1" w:rsidRDefault="007D622D" w:rsidP="00730213">
            <w:pPr>
              <w:jc w:val="both"/>
              <w:rPr>
                <w:rFonts w:ascii="Arial" w:eastAsia="Calibri" w:hAnsi="Arial" w:cs="Arial"/>
                <w:lang w:eastAsia="en-GB"/>
              </w:rPr>
            </w:pPr>
          </w:p>
          <w:p w14:paraId="2D4FA232" w14:textId="77777777" w:rsidR="007D622D" w:rsidRPr="008247B1" w:rsidRDefault="007D622D" w:rsidP="00730213">
            <w:pPr>
              <w:jc w:val="both"/>
              <w:rPr>
                <w:rFonts w:ascii="Arial" w:eastAsia="Calibri" w:hAnsi="Arial" w:cs="Arial"/>
                <w:lang w:eastAsia="en-GB"/>
              </w:rPr>
            </w:pPr>
          </w:p>
          <w:p w14:paraId="2F3A2939" w14:textId="77777777" w:rsidR="007D622D" w:rsidRPr="008247B1" w:rsidRDefault="007D622D" w:rsidP="00730213">
            <w:pPr>
              <w:jc w:val="both"/>
              <w:rPr>
                <w:rFonts w:ascii="Arial" w:eastAsia="Calibri" w:hAnsi="Arial" w:cs="Arial"/>
                <w:lang w:eastAsia="en-GB"/>
              </w:rPr>
            </w:pPr>
          </w:p>
          <w:p w14:paraId="3805102F" w14:textId="77777777" w:rsidR="007D622D" w:rsidRPr="008247B1" w:rsidRDefault="007D622D" w:rsidP="00730213">
            <w:pPr>
              <w:jc w:val="both"/>
              <w:rPr>
                <w:rFonts w:ascii="Arial" w:eastAsia="Calibri" w:hAnsi="Arial" w:cs="Arial"/>
                <w:lang w:eastAsia="en-GB"/>
              </w:rPr>
            </w:pPr>
          </w:p>
          <w:p w14:paraId="0ADDCB48" w14:textId="77777777" w:rsidR="007D622D" w:rsidRPr="008247B1" w:rsidRDefault="007D622D" w:rsidP="00730213">
            <w:pPr>
              <w:jc w:val="both"/>
              <w:rPr>
                <w:rFonts w:ascii="Arial" w:eastAsia="Calibri" w:hAnsi="Arial" w:cs="Arial"/>
                <w:lang w:eastAsia="en-GB"/>
              </w:rPr>
            </w:pPr>
          </w:p>
          <w:p w14:paraId="2D7AEACA" w14:textId="77777777" w:rsidR="007D622D" w:rsidRPr="008247B1" w:rsidRDefault="007D622D" w:rsidP="00730213">
            <w:pPr>
              <w:jc w:val="both"/>
              <w:rPr>
                <w:rFonts w:ascii="Arial" w:eastAsia="Calibri" w:hAnsi="Arial" w:cs="Arial"/>
                <w:lang w:eastAsia="en-GB"/>
              </w:rPr>
            </w:pPr>
          </w:p>
          <w:p w14:paraId="686432FC" w14:textId="77777777" w:rsidR="007D622D" w:rsidRPr="008247B1" w:rsidRDefault="007D622D" w:rsidP="00730213">
            <w:pPr>
              <w:jc w:val="both"/>
              <w:rPr>
                <w:rFonts w:ascii="Arial" w:eastAsia="Calibri" w:hAnsi="Arial" w:cs="Arial"/>
                <w:lang w:eastAsia="en-GB"/>
              </w:rPr>
            </w:pPr>
          </w:p>
          <w:p w14:paraId="3EDD6191" w14:textId="77777777" w:rsidR="007D622D" w:rsidRPr="008247B1" w:rsidRDefault="007D622D" w:rsidP="00730213">
            <w:pPr>
              <w:jc w:val="both"/>
              <w:rPr>
                <w:rFonts w:ascii="Arial" w:eastAsia="Calibri" w:hAnsi="Arial" w:cs="Arial"/>
                <w:lang w:eastAsia="en-GB"/>
              </w:rPr>
            </w:pPr>
          </w:p>
          <w:p w14:paraId="42FCD34D" w14:textId="77777777" w:rsidR="007D622D" w:rsidRPr="008247B1" w:rsidRDefault="007D622D" w:rsidP="00730213">
            <w:pPr>
              <w:jc w:val="both"/>
              <w:rPr>
                <w:rFonts w:ascii="Arial" w:eastAsia="Calibri" w:hAnsi="Arial" w:cs="Arial"/>
                <w:lang w:eastAsia="en-GB"/>
              </w:rPr>
            </w:pPr>
          </w:p>
          <w:p w14:paraId="3C39BF4F" w14:textId="77777777" w:rsidR="007D622D" w:rsidRPr="008247B1" w:rsidRDefault="007D622D" w:rsidP="00730213">
            <w:pPr>
              <w:jc w:val="both"/>
              <w:rPr>
                <w:rFonts w:ascii="Arial" w:eastAsia="Calibri" w:hAnsi="Arial" w:cs="Arial"/>
                <w:lang w:eastAsia="en-GB"/>
              </w:rPr>
            </w:pPr>
          </w:p>
          <w:p w14:paraId="3D041AFF" w14:textId="77777777" w:rsidR="007D622D" w:rsidRPr="008247B1" w:rsidRDefault="007D622D" w:rsidP="00730213">
            <w:pPr>
              <w:jc w:val="both"/>
              <w:rPr>
                <w:rFonts w:ascii="Arial" w:eastAsia="Calibri" w:hAnsi="Arial" w:cs="Arial"/>
                <w:lang w:eastAsia="en-GB"/>
              </w:rPr>
            </w:pPr>
          </w:p>
        </w:tc>
      </w:tr>
    </w:tbl>
    <w:p w14:paraId="54D0C545" w14:textId="77777777" w:rsidR="00940A4B" w:rsidRPr="008247B1" w:rsidRDefault="00940A4B" w:rsidP="007D622D">
      <w:pPr>
        <w:rPr>
          <w:rFonts w:ascii="Arial" w:hAnsi="Arial" w:cs="Arial"/>
        </w:rPr>
      </w:pPr>
    </w:p>
    <w:sectPr w:rsidR="00940A4B" w:rsidRPr="008247B1" w:rsidSect="007D622D">
      <w:headerReference w:type="first" r:id="rId1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8F518" w14:textId="77777777" w:rsidR="00AA4EF2" w:rsidRDefault="00AA4EF2" w:rsidP="00FD4383">
      <w:pPr>
        <w:spacing w:after="0" w:line="240" w:lineRule="auto"/>
      </w:pPr>
      <w:r>
        <w:separator/>
      </w:r>
    </w:p>
  </w:endnote>
  <w:endnote w:type="continuationSeparator" w:id="0">
    <w:p w14:paraId="567A376B" w14:textId="77777777" w:rsidR="00AA4EF2" w:rsidRDefault="00AA4EF2" w:rsidP="00FD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6D9D" w14:textId="77777777" w:rsidR="00AA4EF2" w:rsidRDefault="00AA4EF2" w:rsidP="00FD4383">
      <w:pPr>
        <w:spacing w:after="0" w:line="240" w:lineRule="auto"/>
      </w:pPr>
      <w:r>
        <w:separator/>
      </w:r>
    </w:p>
  </w:footnote>
  <w:footnote w:type="continuationSeparator" w:id="0">
    <w:p w14:paraId="52303AA2" w14:textId="77777777" w:rsidR="00AA4EF2" w:rsidRDefault="00AA4EF2" w:rsidP="00FD4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727C" w14:textId="1D137888" w:rsidR="00540F2B" w:rsidRDefault="00540F2B">
    <w:pPr>
      <w:pStyle w:val="Header"/>
    </w:pPr>
    <w:r>
      <w:rPr>
        <w:noProof/>
      </w:rPr>
      <w:drawing>
        <wp:anchor distT="0" distB="0" distL="114300" distR="114300" simplePos="0" relativeHeight="251659264" behindDoc="1" locked="0" layoutInCell="1" allowOverlap="1" wp14:anchorId="0F03C982" wp14:editId="1F563A60">
          <wp:simplePos x="0" y="0"/>
          <wp:positionH relativeFrom="column">
            <wp:posOffset>0</wp:posOffset>
          </wp:positionH>
          <wp:positionV relativeFrom="paragraph">
            <wp:posOffset>-635</wp:posOffset>
          </wp:positionV>
          <wp:extent cx="995680" cy="995045"/>
          <wp:effectExtent l="0" t="0" r="0" b="0"/>
          <wp:wrapNone/>
          <wp:docPr id="1999163538" name="Picture 1999163538"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S_logo_BLACK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680" cy="9950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02A"/>
    <w:multiLevelType w:val="hybridMultilevel"/>
    <w:tmpl w:val="4322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F62BA"/>
    <w:multiLevelType w:val="hybridMultilevel"/>
    <w:tmpl w:val="67C4347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E338A"/>
    <w:multiLevelType w:val="multilevel"/>
    <w:tmpl w:val="C6E83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036859"/>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 w15:restartNumberingAfterBreak="0">
    <w:nsid w:val="20CB403E"/>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2F127FB9"/>
    <w:multiLevelType w:val="hybridMultilevel"/>
    <w:tmpl w:val="7C5E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A54B0"/>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7" w15:restartNumberingAfterBreak="0">
    <w:nsid w:val="4F8E3662"/>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8" w15:restartNumberingAfterBreak="0">
    <w:nsid w:val="6740437D"/>
    <w:multiLevelType w:val="hybridMultilevel"/>
    <w:tmpl w:val="CAE2FD84"/>
    <w:lvl w:ilvl="0" w:tplc="6A583544">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16cid:durableId="1572084305">
    <w:abstractNumId w:val="1"/>
  </w:num>
  <w:num w:numId="2" w16cid:durableId="822548348">
    <w:abstractNumId w:val="7"/>
  </w:num>
  <w:num w:numId="3" w16cid:durableId="1077553506">
    <w:abstractNumId w:val="6"/>
  </w:num>
  <w:num w:numId="4" w16cid:durableId="908542487">
    <w:abstractNumId w:val="3"/>
  </w:num>
  <w:num w:numId="5" w16cid:durableId="1564439218">
    <w:abstractNumId w:val="8"/>
  </w:num>
  <w:num w:numId="6" w16cid:durableId="888298851">
    <w:abstractNumId w:val="4"/>
  </w:num>
  <w:num w:numId="7" w16cid:durableId="1330406360">
    <w:abstractNumId w:val="5"/>
  </w:num>
  <w:num w:numId="8" w16cid:durableId="1294678876">
    <w:abstractNumId w:val="0"/>
  </w:num>
  <w:num w:numId="9" w16cid:durableId="48327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83"/>
    <w:rsid w:val="00011755"/>
    <w:rsid w:val="00034B10"/>
    <w:rsid w:val="000401CF"/>
    <w:rsid w:val="00050069"/>
    <w:rsid w:val="000633D3"/>
    <w:rsid w:val="00072CBA"/>
    <w:rsid w:val="00086CEB"/>
    <w:rsid w:val="000A50AB"/>
    <w:rsid w:val="000B2BEF"/>
    <w:rsid w:val="000C5402"/>
    <w:rsid w:val="000C76D0"/>
    <w:rsid w:val="000F396F"/>
    <w:rsid w:val="00113ADA"/>
    <w:rsid w:val="00123FEC"/>
    <w:rsid w:val="00170352"/>
    <w:rsid w:val="00177D02"/>
    <w:rsid w:val="00184110"/>
    <w:rsid w:val="00185F4B"/>
    <w:rsid w:val="001918C5"/>
    <w:rsid w:val="00195A5D"/>
    <w:rsid w:val="001A6852"/>
    <w:rsid w:val="001B42D3"/>
    <w:rsid w:val="001C56C9"/>
    <w:rsid w:val="001E5658"/>
    <w:rsid w:val="001E731A"/>
    <w:rsid w:val="001E758E"/>
    <w:rsid w:val="002030C6"/>
    <w:rsid w:val="002175A4"/>
    <w:rsid w:val="00236B5C"/>
    <w:rsid w:val="0024442B"/>
    <w:rsid w:val="002544FB"/>
    <w:rsid w:val="00255D02"/>
    <w:rsid w:val="00275023"/>
    <w:rsid w:val="00282156"/>
    <w:rsid w:val="002828D4"/>
    <w:rsid w:val="002C2713"/>
    <w:rsid w:val="002E00F0"/>
    <w:rsid w:val="002E037D"/>
    <w:rsid w:val="002F320D"/>
    <w:rsid w:val="003129B3"/>
    <w:rsid w:val="00313F8A"/>
    <w:rsid w:val="003347A7"/>
    <w:rsid w:val="00335664"/>
    <w:rsid w:val="00340B28"/>
    <w:rsid w:val="00355E1D"/>
    <w:rsid w:val="00362D5E"/>
    <w:rsid w:val="0038277A"/>
    <w:rsid w:val="00386AB7"/>
    <w:rsid w:val="0039796F"/>
    <w:rsid w:val="003B032A"/>
    <w:rsid w:val="003D7086"/>
    <w:rsid w:val="003E138B"/>
    <w:rsid w:val="003F3C97"/>
    <w:rsid w:val="0041496A"/>
    <w:rsid w:val="00420A61"/>
    <w:rsid w:val="00433F43"/>
    <w:rsid w:val="004428E5"/>
    <w:rsid w:val="00447637"/>
    <w:rsid w:val="00460FFE"/>
    <w:rsid w:val="0046443A"/>
    <w:rsid w:val="00465576"/>
    <w:rsid w:val="00470B8F"/>
    <w:rsid w:val="00471209"/>
    <w:rsid w:val="00472C28"/>
    <w:rsid w:val="00490DCC"/>
    <w:rsid w:val="00491070"/>
    <w:rsid w:val="004912D6"/>
    <w:rsid w:val="004926CD"/>
    <w:rsid w:val="004A19BF"/>
    <w:rsid w:val="004A2A70"/>
    <w:rsid w:val="004B0E83"/>
    <w:rsid w:val="004C2B5E"/>
    <w:rsid w:val="004D5C9F"/>
    <w:rsid w:val="004E35FF"/>
    <w:rsid w:val="00525A2D"/>
    <w:rsid w:val="00534195"/>
    <w:rsid w:val="00540F2B"/>
    <w:rsid w:val="005416B7"/>
    <w:rsid w:val="0054287B"/>
    <w:rsid w:val="00556D34"/>
    <w:rsid w:val="00561B67"/>
    <w:rsid w:val="0056500C"/>
    <w:rsid w:val="00582001"/>
    <w:rsid w:val="00595251"/>
    <w:rsid w:val="005C32A3"/>
    <w:rsid w:val="00604AFD"/>
    <w:rsid w:val="00616E4D"/>
    <w:rsid w:val="00617A06"/>
    <w:rsid w:val="00627897"/>
    <w:rsid w:val="00650AEB"/>
    <w:rsid w:val="006518F1"/>
    <w:rsid w:val="00665335"/>
    <w:rsid w:val="0067147E"/>
    <w:rsid w:val="00705390"/>
    <w:rsid w:val="00726286"/>
    <w:rsid w:val="00730213"/>
    <w:rsid w:val="0073250D"/>
    <w:rsid w:val="0074035A"/>
    <w:rsid w:val="007422CA"/>
    <w:rsid w:val="00746353"/>
    <w:rsid w:val="0075339E"/>
    <w:rsid w:val="00777ED4"/>
    <w:rsid w:val="007832C0"/>
    <w:rsid w:val="007A2E10"/>
    <w:rsid w:val="007B320D"/>
    <w:rsid w:val="007C0AC7"/>
    <w:rsid w:val="007C41A1"/>
    <w:rsid w:val="007D622D"/>
    <w:rsid w:val="00800511"/>
    <w:rsid w:val="00802D3B"/>
    <w:rsid w:val="008247B1"/>
    <w:rsid w:val="00847788"/>
    <w:rsid w:val="008522BC"/>
    <w:rsid w:val="008625C1"/>
    <w:rsid w:val="008723B7"/>
    <w:rsid w:val="00885E3C"/>
    <w:rsid w:val="008978C4"/>
    <w:rsid w:val="008E7562"/>
    <w:rsid w:val="008F299B"/>
    <w:rsid w:val="00901667"/>
    <w:rsid w:val="00901972"/>
    <w:rsid w:val="009062A2"/>
    <w:rsid w:val="009154A1"/>
    <w:rsid w:val="00940A4B"/>
    <w:rsid w:val="0096261B"/>
    <w:rsid w:val="00963492"/>
    <w:rsid w:val="00964879"/>
    <w:rsid w:val="0098566B"/>
    <w:rsid w:val="0098680B"/>
    <w:rsid w:val="009936BF"/>
    <w:rsid w:val="00996114"/>
    <w:rsid w:val="009A35C2"/>
    <w:rsid w:val="009B148F"/>
    <w:rsid w:val="009C0943"/>
    <w:rsid w:val="009E5458"/>
    <w:rsid w:val="00A050D2"/>
    <w:rsid w:val="00A22F4F"/>
    <w:rsid w:val="00A25933"/>
    <w:rsid w:val="00A25948"/>
    <w:rsid w:val="00A42CC2"/>
    <w:rsid w:val="00A46932"/>
    <w:rsid w:val="00A51C87"/>
    <w:rsid w:val="00A8285C"/>
    <w:rsid w:val="00A93EDF"/>
    <w:rsid w:val="00AA4771"/>
    <w:rsid w:val="00AA4EF2"/>
    <w:rsid w:val="00AA57AF"/>
    <w:rsid w:val="00AC0B49"/>
    <w:rsid w:val="00AE625D"/>
    <w:rsid w:val="00AF10AF"/>
    <w:rsid w:val="00B010AD"/>
    <w:rsid w:val="00B33301"/>
    <w:rsid w:val="00B40E0F"/>
    <w:rsid w:val="00B50913"/>
    <w:rsid w:val="00B67434"/>
    <w:rsid w:val="00B72DB7"/>
    <w:rsid w:val="00B95104"/>
    <w:rsid w:val="00BA5817"/>
    <w:rsid w:val="00BA6568"/>
    <w:rsid w:val="00BB0FAE"/>
    <w:rsid w:val="00BC2ACA"/>
    <w:rsid w:val="00BE59C9"/>
    <w:rsid w:val="00BF3FF5"/>
    <w:rsid w:val="00BF6076"/>
    <w:rsid w:val="00C02D02"/>
    <w:rsid w:val="00C25C9C"/>
    <w:rsid w:val="00C53306"/>
    <w:rsid w:val="00C53A9E"/>
    <w:rsid w:val="00C601B7"/>
    <w:rsid w:val="00C777F0"/>
    <w:rsid w:val="00CA1A27"/>
    <w:rsid w:val="00CB41C1"/>
    <w:rsid w:val="00CC78F3"/>
    <w:rsid w:val="00CD5D78"/>
    <w:rsid w:val="00D217BB"/>
    <w:rsid w:val="00D32AC2"/>
    <w:rsid w:val="00D4696C"/>
    <w:rsid w:val="00D61A3B"/>
    <w:rsid w:val="00DA476C"/>
    <w:rsid w:val="00DB24AF"/>
    <w:rsid w:val="00DB4B5F"/>
    <w:rsid w:val="00DE4DF7"/>
    <w:rsid w:val="00E0380A"/>
    <w:rsid w:val="00E04F02"/>
    <w:rsid w:val="00E31153"/>
    <w:rsid w:val="00E37966"/>
    <w:rsid w:val="00E6505D"/>
    <w:rsid w:val="00E80B00"/>
    <w:rsid w:val="00E86F0C"/>
    <w:rsid w:val="00E9568B"/>
    <w:rsid w:val="00E95A85"/>
    <w:rsid w:val="00EC6011"/>
    <w:rsid w:val="00F06A19"/>
    <w:rsid w:val="00F11A0A"/>
    <w:rsid w:val="00F21C89"/>
    <w:rsid w:val="00F57091"/>
    <w:rsid w:val="00F66C56"/>
    <w:rsid w:val="00F67E75"/>
    <w:rsid w:val="00F72413"/>
    <w:rsid w:val="00F80581"/>
    <w:rsid w:val="00F809BB"/>
    <w:rsid w:val="00F80B21"/>
    <w:rsid w:val="00FC2A65"/>
    <w:rsid w:val="00FC2D86"/>
    <w:rsid w:val="00FD4383"/>
    <w:rsid w:val="00FD5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F48F3"/>
  <w15:chartTrackingRefBased/>
  <w15:docId w15:val="{98B3AFCE-ECC1-4984-863E-76C8FC1C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83"/>
  </w:style>
  <w:style w:type="paragraph" w:styleId="Footer">
    <w:name w:val="footer"/>
    <w:basedOn w:val="Normal"/>
    <w:link w:val="FooterChar"/>
    <w:uiPriority w:val="99"/>
    <w:unhideWhenUsed/>
    <w:rsid w:val="00FD43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83"/>
  </w:style>
  <w:style w:type="table" w:styleId="TableGrid">
    <w:name w:val="Table Grid"/>
    <w:basedOn w:val="TableNormal"/>
    <w:uiPriority w:val="39"/>
    <w:rsid w:val="00C53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E0F"/>
    <w:pPr>
      <w:ind w:left="720"/>
      <w:contextualSpacing/>
    </w:pPr>
  </w:style>
  <w:style w:type="paragraph" w:styleId="BalloonText">
    <w:name w:val="Balloon Text"/>
    <w:basedOn w:val="Normal"/>
    <w:link w:val="BalloonTextChar"/>
    <w:uiPriority w:val="99"/>
    <w:semiHidden/>
    <w:unhideWhenUsed/>
    <w:rsid w:val="00BF60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607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c873d5-23b6-4984-859e-b50939a50bbb">
      <Terms xmlns="http://schemas.microsoft.com/office/infopath/2007/PartnerControls"/>
    </lcf76f155ced4ddcb4097134ff3c332f>
    <TaxCatchAll xmlns="1204e082-ddfc-4eaf-903e-5230b18e2d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80033703C9B4289FA36CFBE52A624" ma:contentTypeVersion="18" ma:contentTypeDescription="Create a new document." ma:contentTypeScope="" ma:versionID="df3d1f2c912c67aab837989bc4eace5d">
  <xsd:schema xmlns:xsd="http://www.w3.org/2001/XMLSchema" xmlns:xs="http://www.w3.org/2001/XMLSchema" xmlns:p="http://schemas.microsoft.com/office/2006/metadata/properties" xmlns:ns2="10c873d5-23b6-4984-859e-b50939a50bbb" xmlns:ns3="1204e082-ddfc-4eaf-903e-5230b18e2dc9" targetNamespace="http://schemas.microsoft.com/office/2006/metadata/properties" ma:root="true" ma:fieldsID="0559938d4c14496af16d90bbea375cb6" ns2:_="" ns3:_="">
    <xsd:import namespace="10c873d5-23b6-4984-859e-b50939a50bbb"/>
    <xsd:import namespace="1204e082-ddfc-4eaf-903e-5230b18e2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873d5-23b6-4984-859e-b50939a50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2425d7-a59b-4313-bc0d-bbd020bd70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4e082-ddfc-4eaf-903e-5230b18e2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bf5990-d41d-4a38-ad8f-a6ca9cf364e7}" ma:internalName="TaxCatchAll" ma:showField="CatchAllData" ma:web="1204e082-ddfc-4eaf-903e-5230b18e2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52870B-659F-494B-A7AF-BD0F8BE49C1B}">
  <ds:schemaRefs>
    <ds:schemaRef ds:uri="http://schemas.microsoft.com/office/2006/metadata/properties"/>
    <ds:schemaRef ds:uri="http://schemas.microsoft.com/office/infopath/2007/PartnerControls"/>
    <ds:schemaRef ds:uri="10c873d5-23b6-4984-859e-b50939a50bbb"/>
    <ds:schemaRef ds:uri="1204e082-ddfc-4eaf-903e-5230b18e2dc9"/>
  </ds:schemaRefs>
</ds:datastoreItem>
</file>

<file path=customXml/itemProps2.xml><?xml version="1.0" encoding="utf-8"?>
<ds:datastoreItem xmlns:ds="http://schemas.openxmlformats.org/officeDocument/2006/customXml" ds:itemID="{8592A8CA-11D6-487F-87B1-5616B4A9A363}">
  <ds:schemaRefs>
    <ds:schemaRef ds:uri="http://schemas.microsoft.com/sharepoint/v3/contenttype/forms"/>
  </ds:schemaRefs>
</ds:datastoreItem>
</file>

<file path=customXml/itemProps3.xml><?xml version="1.0" encoding="utf-8"?>
<ds:datastoreItem xmlns:ds="http://schemas.openxmlformats.org/officeDocument/2006/customXml" ds:itemID="{144AACB1-81AE-4BBD-8DD8-1BD0766B3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873d5-23b6-4984-859e-b50939a50bbb"/>
    <ds:schemaRef ds:uri="1204e082-ddfc-4eaf-903e-5230b18e2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Yemm</dc:creator>
  <cp:keywords/>
  <dc:description/>
  <cp:lastModifiedBy>Eddie Parsons</cp:lastModifiedBy>
  <cp:revision>4</cp:revision>
  <cp:lastPrinted>2020-04-08T10:55:00Z</cp:lastPrinted>
  <dcterms:created xsi:type="dcterms:W3CDTF">2025-03-28T12:13:00Z</dcterms:created>
  <dcterms:modified xsi:type="dcterms:W3CDTF">2025-03-28T12:15:00Z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0x01010059C80033703C9B4289FA36CFBE52A624</vt:lpwstr>
  </property>
  <property fmtid="{D5CDD505-2E9C-101B-9397-08002B2CF9AE}" pid="3" name="MediaServiceImageTags">
    <vt:lpwstr/>
  </property>
</Properties>
</file>